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IV.2021.26 vom 15. Januar 2021</w:t>
      </w:r>
    </w:p>
    <w:p>
      <w:r>
        <w:t>Bs Sozialversicherungsgericht, 2021-01-15, DE</w:t>
      </w:r>
    </w:p>
    <w:p>
      <w:r>
        <w:rPr>
          <w:b/>
        </w:rPr>
        <w:t xml:space="preserve">Quelle: </w:t>
      </w:r>
      <w:r>
        <w:t>https://mcp.opencaselaw.ch/entscheid/bs_sozialversicherungsgericht_IV.2021.26</w:t>
      </w:r>
    </w:p>
    <w:p>
      <w:r>
        <w:t>FR: BS_SOZIALVERSICHERUNGSGERICHT IV.2021.26 du 15 janvier 2021</w:t>
      </w:r>
    </w:p>
    <w:p>
      <w:r>
        <w:t>IT: BS_SOZIALVERSICHERUNGSGERICHT IV.2021.26 del 15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Oktober 2021</w:t>
      </w:r>
    </w:p>
    <w:p>
      <w:r>
        <w:t>Mitwirkende</w:t>
      </w:r>
    </w:p>
    <w:p>
      <w:r>
        <w:t>Dr. A. Pfleiderer (Vorsitz), C. Müller, MLaw M. Kreis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IV.2021.26</w:t>
      </w:r>
    </w:p>
    <w:p>
      <w:r>
        <w:t>Verfügung vom 15. Januar 2021</w:t>
      </w:r>
    </w:p>
    <w:p>
      <w:r>
        <w:t>Die gesundheitlichen Verhältnisse zum Zeitpunkt des Erlasses der Verfügung bedürfen vertiefter Abklärung. Rückweisung an die Vorinstanz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