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IV.2021.200 vom 10. November 2021</w:t>
      </w:r>
    </w:p>
    <w:p>
      <w:r>
        <w:t>Bs Sozialversicherungsgericht, 2021-11-10, DE</w:t>
      </w:r>
    </w:p>
    <w:p>
      <w:r>
        <w:rPr>
          <w:b/>
        </w:rPr>
        <w:t xml:space="preserve">Quelle: </w:t>
      </w:r>
      <w:r>
        <w:t>https://mcp.opencaselaw.ch/entscheid/bs_sozialversicherungsgericht_IV.2021.200</w:t>
      </w:r>
    </w:p>
    <w:p>
      <w:r>
        <w:t>FR: BS_SOZIALVERSICHERUNGSGERICHT IV.2021.200 du 10 novembre 2021</w:t>
      </w:r>
    </w:p>
    <w:p>
      <w:r>
        <w:t>IT: BS_SOZIALVERSICHERUNGSGERICHT IV.2021.200 del 10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Juli 2022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IV.2021.200</w:t>
      </w:r>
    </w:p>
    <w:p>
      <w:r>
        <w:t>Verfügung vom 10. November 2021</w:t>
      </w:r>
    </w:p>
    <w:p>
      <w:r>
        <w:t>Beschwerde abgewiesen. Beweiskraft des bidisziplinären Gutachtens, insbesondere des psychiatrischen Teils, bejaht. Bei einer Restarbeitsfähigkeit von 80% für alle Tätigkeiten resultiert kein rentenbegründender Invaliditätsgrad.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