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 vom 19. Mai 2021</w:t>
      </w:r>
    </w:p>
    <w:p>
      <w:r>
        <w:t>Bs Sozialversicherungsgericht, 2021-05-19, DE</w:t>
      </w:r>
    </w:p>
    <w:p>
      <w:r>
        <w:rPr>
          <w:b/>
        </w:rPr>
        <w:t xml:space="preserve">Quelle: </w:t>
      </w:r>
      <w:r>
        <w:t>https://mcp.opencaselaw.ch/entscheid/bs_sozialversicherungsgericht_IV.2021.2</w:t>
      </w:r>
    </w:p>
    <w:p>
      <w:r>
        <w:t>FR: BS_SOZIALVERSICHERUNGSGERICHT IV.2021.2 du 19 mai 2021</w:t>
      </w:r>
    </w:p>
    <w:p>
      <w:r>
        <w:t>IT: BS_SOZIALVERSICHERUNGSGERICHT IV.2021.2 del 19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Mai 2021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und C____, [...]</w:t>
      </w:r>
    </w:p>
    <w:p>
      <w:r>
        <w:t>zusätzlich vertreten durch [...], Frau Dr. D____[...]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IV.2021.2</w:t>
      </w:r>
    </w:p>
    <w:p>
      <w:r>
        <w:t>Verfügungen vom 27. November 2020</w:t>
      </w:r>
    </w:p>
    <w:p>
      <w:r>
        <w:t>Kostenübernahme für künstliche Ernährung, Ernährungsberatung und Spezialnahrung gemäss Art. 12 IVG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