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IV.2021.192 vom 21. April 2022</w:t>
      </w:r>
    </w:p>
    <w:p>
      <w:r>
        <w:t>Bs Sozialversicherungsgericht, 2022-04-21, DE</w:t>
      </w:r>
    </w:p>
    <w:p>
      <w:r>
        <w:rPr>
          <w:b/>
        </w:rPr>
        <w:t xml:space="preserve">Quelle: </w:t>
      </w:r>
      <w:r>
        <w:t>https://mcp.opencaselaw.ch/entscheid/bs_sozialversicherungsgericht_IV.2021.192</w:t>
      </w:r>
    </w:p>
    <w:p>
      <w:r>
        <w:t>FR: BS_SOZIALVERSICHERUNGSGERICHT IV.2021.192 du 21 avril 2022</w:t>
      </w:r>
    </w:p>
    <w:p>
      <w:r>
        <w:t>IT: BS_SOZIALVERSICHERUNGSGERICHT IV.2021.192 del 21 aprile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April 2022</w:t>
      </w:r>
    </w:p>
    <w:p>
      <w:r>
        <w:t>Mitwirkende</w:t>
      </w:r>
    </w:p>
    <w:p>
      <w:r>
        <w:t>Dr. A. Pfleiderer (Vorsitz), Dr. iur. T. Fasnacht, S. Schenker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IV.2021.192 / IV.2021.203</w:t>
      </w:r>
    </w:p>
    <w:p>
      <w:r>
        <w:t>Verfügungen vom 26. Oktober 2021 und 21. Dezember 2021</w:t>
      </w:r>
    </w:p>
    <w:p>
      <w:r>
        <w:t>Invaliditätsbemessung anhand der gemischten Methode. Schadenminderungspflicht bei der Ermittlung der Einschränkungen im Haushalt, leidensbedingter Abzug im erwerblichen Bereich.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