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IV.2021.190 vom 22. Oktober 2021</w:t>
      </w:r>
    </w:p>
    <w:p>
      <w:r>
        <w:t>Bs Sozialversicherungsgericht, 2021-10-22, DE</w:t>
      </w:r>
    </w:p>
    <w:p>
      <w:r>
        <w:rPr>
          <w:b/>
        </w:rPr>
        <w:t xml:space="preserve">Quelle: </w:t>
      </w:r>
      <w:r>
        <w:t>https://mcp.opencaselaw.ch/entscheid/bs_sozialversicherungsgericht_IV.2021.190</w:t>
      </w:r>
    </w:p>
    <w:p>
      <w:r>
        <w:t>FR: BS_SOZIALVERSICHERUNGSGERICHT IV.2021.190 du 22 octobre 2021</w:t>
      </w:r>
    </w:p>
    <w:p>
      <w:r>
        <w:t>IT: BS_SOZIALVERSICHERUNGSGERICHT IV.2021.190 del 22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IV.2021.190</w:t>
      </w:r>
    </w:p>
    <w:p>
      <w:r>
        <w:t>Verfügung vom 22. Oktober 2021</w:t>
      </w:r>
    </w:p>
    <w:p>
      <w:r>
        <w:t>Beschwerde gutgeheissen. Psychiatrisches Gutachten aus formeller und materieller Sicht nicht beweiskräftig. Rückweisung zur erneuten Begutachtung.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