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IV.2021.154 vom 23. August 2021</w:t>
      </w:r>
    </w:p>
    <w:p>
      <w:r>
        <w:t>Bs Sozialversicherungsgericht, 2021-08-23, DE</w:t>
      </w:r>
    </w:p>
    <w:p>
      <w:r>
        <w:rPr>
          <w:b/>
        </w:rPr>
        <w:t xml:space="preserve">Quelle: </w:t>
      </w:r>
      <w:r>
        <w:t>https://mcp.opencaselaw.ch/entscheid/bs_sozialversicherungsgericht_IV.2021.154</w:t>
      </w:r>
    </w:p>
    <w:p>
      <w:r>
        <w:t>FR: BS_SOZIALVERSICHERUNGSGERICHT IV.2021.154 du 23 août 2021</w:t>
      </w:r>
    </w:p>
    <w:p>
      <w:r>
        <w:t>IT: BS_SOZIALVERSICHERUNGSGERICHT IV.2021.154 del 23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Dezember 2021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IV.2021.154</w:t>
      </w:r>
    </w:p>
    <w:p>
      <w:r>
        <w:t>Verfügung vom 23. August 2021</w:t>
      </w:r>
    </w:p>
    <w:p>
      <w:r>
        <w:t>Beweistauglichkeit von Gutachten und Haushaltsabklärung</w:t>
      </w:r>
    </w:p>
    <w:p>
      <w:r>
        <w:t>-St. n. Morbus Basedow, ED 2006, Radiotherapie 2007, nachfolgend Hypothyreose, substituiert</w:t>
      </w:r>
    </w:p>
    <w:p>
      <w:r>
        <w:t>-St. n. Nagelkranzfraktur Digitus Ill rechts anlässlich Quetschtrauma am 02.05.2017, konservative Behandlung, beschwerdefrei</w:t>
      </w:r>
    </w:p>
    <w:p>
      <w:r>
        <w:t>-St. n. Lumbovertebralsyndrom nach Sturz am 31.12.2016, beschwerdefrei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