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IV.2021.139 vom 19. August 2021</w:t>
      </w:r>
    </w:p>
    <w:p>
      <w:r>
        <w:t>Bs Sozialversicherungsgericht, 2021-08-19, DE</w:t>
      </w:r>
    </w:p>
    <w:p>
      <w:r>
        <w:rPr>
          <w:b/>
        </w:rPr>
        <w:t xml:space="preserve">Quelle: </w:t>
      </w:r>
      <w:r>
        <w:t>https://mcp.opencaselaw.ch/entscheid/bs_sozialversicherungsgericht_IV.2021.139</w:t>
      </w:r>
    </w:p>
    <w:p>
      <w:r>
        <w:t>FR: BS_SOZIALVERSICHERUNGSGERICHT IV.2021.139 du 19 août 2021</w:t>
      </w:r>
    </w:p>
    <w:p>
      <w:r>
        <w:t>IT: BS_SOZIALVERSICHERUNGSGERICHT IV.2021.139 del 19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Februar 2022</w:t>
      </w:r>
    </w:p>
    <w:p>
      <w:r>
        <w:t>Mitwirkende</w:t>
      </w:r>
    </w:p>
    <w:p>
      <w:r>
        <w:t>lic. iur. R. Schnyder (Vorsitz), lic. iur. M. Prack Hoenen,Dr. phil. N. Bechtelund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B____Pensionskasse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IV.2021.139</w:t>
      </w:r>
    </w:p>
    <w:p>
      <w:r>
        <w:t>Verfügung vom 19. August 2021</w:t>
      </w:r>
    </w:p>
    <w:p>
      <w:r>
        <w:t>Rente; mangelhafte Sachverhaltsabklärung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