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IV.2021.106 vom 15. Dezember 2021</w:t>
      </w:r>
    </w:p>
    <w:p>
      <w:r>
        <w:t>Bs Sozialversicherungsgericht, 2021-12-15, DE</w:t>
      </w:r>
    </w:p>
    <w:p>
      <w:r>
        <w:rPr>
          <w:b/>
        </w:rPr>
        <w:t xml:space="preserve">Quelle: </w:t>
      </w:r>
      <w:r>
        <w:t>https://mcp.opencaselaw.ch/entscheid/bs_sozialversicherungsgericht_IV.2021.106</w:t>
      </w:r>
    </w:p>
    <w:p>
      <w:r>
        <w:t>FR: BS_SOZIALVERSICHERUNGSGERICHT IV.2021.106 du 15 décembre 2021</w:t>
      </w:r>
    </w:p>
    <w:p>
      <w:r>
        <w:t>IT: BS_SOZIALVERSICHERUNGSGERICHT IV.2021.106 del 15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Dezember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IV.2021.106</w:t>
      </w:r>
    </w:p>
    <w:p>
      <w:r>
        <w:t>Verfügung vom 19. Mai 2021</w:t>
      </w:r>
    </w:p>
    <w:p>
      <w:r>
        <w:t>Polydisziplinäres Gutachten beweiskräftig; keine rentenerhebliche Veränderung des Gesundheitszustands. Gemischte Methode zu Recht angewendet.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