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IV.2020.98 vom 1. März 2021</w:t>
      </w:r>
    </w:p>
    <w:p>
      <w:r>
        <w:t>Bs Sozialversicherungsgericht, 2021-03-01, DE</w:t>
      </w:r>
    </w:p>
    <w:p>
      <w:r>
        <w:rPr>
          <w:b/>
        </w:rPr>
        <w:t xml:space="preserve">Quelle: </w:t>
      </w:r>
      <w:r>
        <w:t>https://mcp.opencaselaw.ch/entscheid/bs_sozialversicherungsgericht_IV.2020.98</w:t>
      </w:r>
    </w:p>
    <w:p>
      <w:r>
        <w:t>FR: BS_SOZIALVERSICHERUNGSGERICHT IV.2020.98 du 1 mars 2021</w:t>
      </w:r>
    </w:p>
    <w:p>
      <w:r>
        <w:t>IT: BS_SOZIALVERSICHERUNGSGERICHT IV.2020.98 del 1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März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IV.2020.98</w:t>
      </w:r>
    </w:p>
    <w:p>
      <w:r>
        <w:t>Zwei Verfügungen vom 1. Juli 2020</w:t>
      </w:r>
    </w:p>
    <w:p>
      <w:r>
        <w:t>Einstellung der Invalidenrente wegen Wohnsitzverlegung in ein Land ohne gültiges Sozialversicherungsabkommen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