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IV.2020.87 vom 22. Juni 2020</w:t>
      </w:r>
    </w:p>
    <w:p>
      <w:r>
        <w:t>Bs Sozialversicherungsgericht, 2020-06-22, DE</w:t>
      </w:r>
    </w:p>
    <w:p>
      <w:r>
        <w:rPr>
          <w:b/>
        </w:rPr>
        <w:t xml:space="preserve">Quelle: </w:t>
      </w:r>
      <w:r>
        <w:t>https://mcp.opencaselaw.ch/entscheid/bs_sozialversicherungsgericht_IV.2020.87</w:t>
      </w:r>
    </w:p>
    <w:p>
      <w:r>
        <w:t>FR: BS_SOZIALVERSICHERUNGSGERICHT IV.2020.87 du 22 juin 2020</w:t>
      </w:r>
    </w:p>
    <w:p>
      <w:r>
        <w:t>IT: BS_SOZIALVERSICHERUNGSGERICHT IV.2020.87 del 22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18. Januar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IV.2020.87</w:t>
      </w:r>
    </w:p>
    <w:p>
      <w:r>
        <w:t>Verfügung vom 22. Juni 2020</w:t>
      </w:r>
    </w:p>
    <w:p>
      <w:r>
        <w:t>Rückweisung der Angelegenheit an die IV-Stelle zur Prüfung des Anspruchs medizinischer Massnahmen für Minderjährige.</w:t>
      </w:r>
    </w:p>
    <w:p>
      <w:r>
        <w:t>Erwägungen: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Noëmi Marbot, MLaw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