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IV.2020.86 vom 10. Juni 2020</w:t>
      </w:r>
    </w:p>
    <w:p>
      <w:r>
        <w:t>Bs Sozialversicherungsgericht, 2020-06-10, DE</w:t>
      </w:r>
    </w:p>
    <w:p>
      <w:r>
        <w:rPr>
          <w:b/>
        </w:rPr>
        <w:t xml:space="preserve">Quelle: </w:t>
      </w:r>
      <w:r>
        <w:t>https://mcp.opencaselaw.ch/entscheid/bs_sozialversicherungsgericht_IV.2020.86</w:t>
      </w:r>
    </w:p>
    <w:p>
      <w:r>
        <w:t>FR: BS_SOZIALVERSICHERUNGSGERICHT IV.2020.86 du 10 juin 2020</w:t>
      </w:r>
    </w:p>
    <w:p>
      <w:r>
        <w:t>IT: BS_SOZIALVERSICHERUNGSGERICHT IV.2020.86 del 10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IV.2020.86</w:t>
      </w:r>
    </w:p>
    <w:p>
      <w:r>
        <w:t>Verfügung vom 10. Juni 2020</w:t>
      </w:r>
    </w:p>
    <w:p>
      <w:r>
        <w:t>Beschwerde abgewiesen. Kein Revisionsgrund nach Art. 17 ATSG gegeben.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