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IV.2020.81 vom 5. Juni 2020</w:t>
      </w:r>
    </w:p>
    <w:p>
      <w:r>
        <w:t>Bs Sozialversicherungsgericht, 2020-06-05, DE</w:t>
      </w:r>
    </w:p>
    <w:p>
      <w:r>
        <w:rPr>
          <w:b/>
        </w:rPr>
        <w:t xml:space="preserve">Quelle: </w:t>
      </w:r>
      <w:r>
        <w:t>https://mcp.opencaselaw.ch/entscheid/bs_sozialversicherungsgericht_IV.2020.81</w:t>
      </w:r>
    </w:p>
    <w:p>
      <w:r>
        <w:t>FR: BS_SOZIALVERSICHERUNGSGERICHT IV.2020.81 du 5 juin 2020</w:t>
      </w:r>
    </w:p>
    <w:p>
      <w:r>
        <w:t>IT: BS_SOZIALVERSICHERUNGSGERICHT IV.2020.81 del 5 giugno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vom24. November 2020</w:t>
      </w:r>
    </w:p>
    <w:p>
      <w:r>
        <w:t>Mitwirkende</w:t>
      </w:r>
    </w:p>
    <w:p>
      <w:r>
        <w:t>lic. iur. K. Zehnder (Vorsitz), lic. iur. S. Bammatter-Glättli, MLaw A. Zalad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Advokat, 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IV.2020.81</w:t>
      </w:r>
    </w:p>
    <w:p>
      <w:r>
        <w:t>Verfügung vom 5. Juni 2020</w:t>
      </w:r>
    </w:p>
    <w:p>
      <w:r>
        <w:t>Rentenanspruch bejaht. Abstellen auf Tabelle T17 der LSE zur Berechnung des Invalideneinkommens vorliegend nicht gerechtfertigt. Vielmehr ist die Tabelle TA1 «Total Privater Sektor» Frauen, Kompetenzniveau 3 heranzuziehen.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