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IV.2020.74 vom 18. Juni 2020</w:t>
      </w:r>
    </w:p>
    <w:p>
      <w:r>
        <w:t>Bs Sozialversicherungsgericht, 2020-06-18, DE</w:t>
      </w:r>
    </w:p>
    <w:p>
      <w:r>
        <w:rPr>
          <w:b/>
        </w:rPr>
        <w:t xml:space="preserve">Quelle: </w:t>
      </w:r>
      <w:r>
        <w:t>https://mcp.opencaselaw.ch/entscheid/bs_sozialversicherungsgericht_IV.2020.74</w:t>
      </w:r>
    </w:p>
    <w:p>
      <w:r>
        <w:t>FR: BS_SOZIALVERSICHERUNGSGERICHT IV.2020.74 du 18 juin 2020</w:t>
      </w:r>
    </w:p>
    <w:p>
      <w:r>
        <w:t>IT: BS_SOZIALVERSICHERUNGSGERICHT IV.2020.74 del 18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September 2020</w:t>
      </w:r>
    </w:p>
    <w:p>
      <w:r>
        <w:t>Mitwirkende</w:t>
      </w:r>
    </w:p>
    <w:p>
      <w:r>
        <w:t>Dr. G. Thomi (Vorsitz), C. Müller,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IV.2020.74</w:t>
      </w:r>
    </w:p>
    <w:p>
      <w:r>
        <w:t>Verfügung vom 18. Juni 2020</w:t>
      </w:r>
    </w:p>
    <w:p>
      <w:r>
        <w:t>Parallelverfahren zu IV.2020.47</w:t>
      </w:r>
    </w:p>
    <w:p>
      <w:r>
        <w:t>Der Beschwerdeführer trägt die ordentlichen Kosten, bestehend aus einer Gebühr von Fr. 800.00. Sie gehen zufolge Bewilligung des Kostenerlasses an ihn zu Lasten des Staates.</w:t>
      </w:r>
    </w:p>
    <w:p>
      <w:r>
        <w:t>Die ausserordentlichen Kosten werden wettgeschlagen. Dem Vertreter des Beschwerdeführers im Kostenerlass MLaw B____ wird ein Anwaltshonorar von Fr. 1000.00 (inklusive Auslagen) zuzüglich Mehrwertsteuer von Fr. 77.00 (7,7%) aus der Gerichtskasse zugesprochen.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