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IV.2020.52 vom 31. März 2020</w:t>
      </w:r>
    </w:p>
    <w:p>
      <w:r>
        <w:t>Bs Sozialversicherungsgericht, 2020-03-31, DE</w:t>
      </w:r>
    </w:p>
    <w:p>
      <w:r>
        <w:rPr>
          <w:b/>
        </w:rPr>
        <w:t xml:space="preserve">Quelle: </w:t>
      </w:r>
      <w:r>
        <w:t>https://mcp.opencaselaw.ch/entscheid/bs_sozialversicherungsgericht_IV.2020.52</w:t>
      </w:r>
    </w:p>
    <w:p>
      <w:r>
        <w:t>FR: BS_SOZIALVERSICHERUNGSGERICHT IV.2020.52 du 31 mars 2020</w:t>
      </w:r>
    </w:p>
    <w:p>
      <w:r>
        <w:t>IT: BS_SOZIALVERSICHERUNGSGERICHT IV.2020.52 del 31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Oktober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IV.2020.52</w:t>
      </w:r>
    </w:p>
    <w:p>
      <w:r>
        <w:t>Verfügung vom 31. März 2020</w:t>
      </w:r>
    </w:p>
    <w:p>
      <w:r>
        <w:t>Ablehnung des Rentenanspruchs gestützt auf eine versicherungsinterne Beurteilung erfolgte zu Recht.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