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IV.2020.34 vom 8. Dezember 2020</w:t>
      </w:r>
    </w:p>
    <w:p>
      <w:r>
        <w:t>Bs Sozialversicherungsgericht, 2020-12-08, DE</w:t>
      </w:r>
    </w:p>
    <w:p>
      <w:r>
        <w:rPr>
          <w:b/>
        </w:rPr>
        <w:t xml:space="preserve">Quelle: </w:t>
      </w:r>
      <w:r>
        <w:t>https://mcp.opencaselaw.ch/entscheid/bs_sozialversicherungsgericht_IV.2020.34</w:t>
      </w:r>
    </w:p>
    <w:p>
      <w:r>
        <w:t>FR: BS_SOZIALVERSICHERUNGSGERICHT IV.2020.34 du 8 décembre 2020</w:t>
      </w:r>
    </w:p>
    <w:p>
      <w:r>
        <w:t>IT: BS_SOZIALVERSICHERUNGSGERICHT IV.2020.34 del 8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Dezember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IV.2020.34</w:t>
      </w:r>
    </w:p>
    <w:p>
      <w:r>
        <w:t>Verfügung vom 21. Februar 202</w:t>
      </w:r>
    </w:p>
    <w:p>
      <w:r>
        <w:t>Keine Kostenübernahme für Laserbehandlung zur Entfernung eines Feuermals bei rein ästhetischer Indikation.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