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IV.2020.31 vom 17. Februar 2020</w:t>
      </w:r>
    </w:p>
    <w:p>
      <w:r>
        <w:t>Bs Sozialversicherungsgericht, 2020-02-17, DE</w:t>
      </w:r>
    </w:p>
    <w:p>
      <w:r>
        <w:rPr>
          <w:b/>
        </w:rPr>
        <w:t xml:space="preserve">Quelle: </w:t>
      </w:r>
      <w:r>
        <w:t>https://mcp.opencaselaw.ch/entscheid/bs_sozialversicherungsgericht_IV.2020.31</w:t>
      </w:r>
    </w:p>
    <w:p>
      <w:r>
        <w:t>FR: BS_SOZIALVERSICHERUNGSGERICHT IV.2020.31 du 17 février 2020</w:t>
      </w:r>
    </w:p>
    <w:p>
      <w:r>
        <w:t>IT: BS_SOZIALVERSICHERUNGSGERICHT IV.2020.31 del 17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vom27. Juli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IV.2020.31</w:t>
      </w:r>
    </w:p>
    <w:p>
      <w:r>
        <w:t>Verfügung vom 17. Februar 2020</w:t>
      </w:r>
    </w:p>
    <w:p>
      <w:r>
        <w:t>Unentgeltliche Rechtspflege im Vobescheidverfahren</w:t>
      </w:r>
    </w:p>
    <w:p>
      <w:r>
        <w:t>Die Präsidentin                                                         Der Gerichtsschreiber i.V.</w:t>
      </w:r>
    </w:p>
    <w:p>
      <w:r>
        <w:t>lic. iur. K. ZehnderMLaw S. Walker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