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IV.2020.164 vom 23. November 2020</w:t>
      </w:r>
    </w:p>
    <w:p>
      <w:r>
        <w:t>Bs Sozialversicherungsgericht, 2020-11-23, DE</w:t>
      </w:r>
    </w:p>
    <w:p>
      <w:r>
        <w:rPr>
          <w:b/>
        </w:rPr>
        <w:t xml:space="preserve">Quelle: </w:t>
      </w:r>
      <w:r>
        <w:t>https://mcp.opencaselaw.ch/entscheid/bs_sozialversicherungsgericht_IV.2020.164</w:t>
      </w:r>
    </w:p>
    <w:p>
      <w:r>
        <w:t>FR: BS_SOZIALVERSICHERUNGSGERICHT IV.2020.164 du 23 novembre 2020</w:t>
      </w:r>
    </w:p>
    <w:p>
      <w:r>
        <w:t>IT: BS_SOZIALVERSICHERUNGSGERICHT IV.2020.164 del 23 novembre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vom6. Dezember 2021</w:t>
      </w:r>
    </w:p>
    <w:p>
      <w:r>
        <w:t>Mitwirkende</w:t>
      </w:r>
    </w:p>
    <w:p>
      <w:r>
        <w:t>Dr. G. Thomi (Vorsitz), P. Kaderli, Dr. med. F. W. Eymann</w:t>
      </w:r>
    </w:p>
    <w:p>
      <w:r>
        <w:t>und Gerichtsschreiberin Dr. B. Gruber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Beschwerdeführerin</w:t>
      </w:r>
    </w:p>
    <w:p>
      <w:r>
        <w:t>IV-Stelle Basel-Stadt</w:t>
      </w:r>
    </w:p>
    <w:p>
      <w:r>
        <w:t>Rechtsdienst, Lange Gasse 7, Postfach, 4002 Basel</w:t>
      </w:r>
    </w:p>
    <w:p>
      <w:r>
        <w:t>Beschwerdegegnerin</w:t>
      </w:r>
    </w:p>
    <w:p>
      <w:r>
        <w:t>Gegenstand</w:t>
      </w:r>
    </w:p>
    <w:p>
      <w:r>
        <w:t>IV.2020.164</w:t>
      </w:r>
    </w:p>
    <w:p>
      <w:r>
        <w:t>Verfügung vom 23. November 2020</w:t>
      </w:r>
    </w:p>
    <w:p>
      <w:r>
        <w:t>Beweiswert Arztbericht, Wartejahr nicht erfüllt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