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IV.2020.159 vom 10. Mai 2021</w:t>
      </w:r>
    </w:p>
    <w:p>
      <w:r>
        <w:t>Bs Sozialversicherungsgericht, 2021-05-10, DE</w:t>
      </w:r>
    </w:p>
    <w:p>
      <w:r>
        <w:rPr>
          <w:b/>
        </w:rPr>
        <w:t xml:space="preserve">Quelle: </w:t>
      </w:r>
      <w:r>
        <w:t>https://mcp.opencaselaw.ch/entscheid/bs_sozialversicherungsgericht_IV.2020.159</w:t>
      </w:r>
    </w:p>
    <w:p>
      <w:r>
        <w:t>FR: BS_SOZIALVERSICHERUNGSGERICHT IV.2020.159 du 10 mai 2021</w:t>
      </w:r>
    </w:p>
    <w:p>
      <w:r>
        <w:t>IT: BS_SOZIALVERSICHERUNGSGERICHT IV.2020.159 del 10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10. Mai 2021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IV.2020.159</w:t>
      </w:r>
    </w:p>
    <w:p>
      <w:r>
        <w:t>Unentgetliche Verbeiständung im Abklärungsverfahren nach Rückweisung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