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IV.2020.153 vom 3. November 2020</w:t>
      </w:r>
    </w:p>
    <w:p>
      <w:r>
        <w:t>Bs Sozialversicherungsgericht, 2020-11-03, DE</w:t>
      </w:r>
    </w:p>
    <w:p>
      <w:r>
        <w:rPr>
          <w:b/>
        </w:rPr>
        <w:t xml:space="preserve">Quelle: </w:t>
      </w:r>
      <w:r>
        <w:t>https://mcp.opencaselaw.ch/entscheid/bs_sozialversicherungsgericht_IV.2020.153</w:t>
      </w:r>
    </w:p>
    <w:p>
      <w:r>
        <w:t>FR: BS_SOZIALVERSICHERUNGSGERICHT IV.2020.153 du 3 novembre 2020</w:t>
      </w:r>
    </w:p>
    <w:p>
      <w:r>
        <w:t>IT: BS_SOZIALVERSICHERUNGSGERICHT IV.2020.153 del 3 novembre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Mai 2022</w:t>
      </w:r>
    </w:p>
    <w:p>
      <w:r>
        <w:t>Mitwirkende</w:t>
      </w:r>
    </w:p>
    <w:p>
      <w:r>
        <w:t>Dr. A. Pfleiderer (Vorsitz), Dr. med. R. von Aarburg, lic. iur. S. Bammatter-Glättliund Gerichtsschreiberin lic. iur. S. Dreyer</w:t>
      </w:r>
    </w:p>
    <w:p>
      <w:r>
        <w:t>Parteien</w:t>
      </w:r>
    </w:p>
    <w:p>
      <w:r>
        <w:t>A____</w:t>
      </w:r>
    </w:p>
    <w:p>
      <w:r>
        <w:t>c/o B____, [...]</w:t>
      </w:r>
    </w:p>
    <w:p>
      <w:r>
        <w:t>Beschwerdeführer</w:t>
      </w:r>
    </w:p>
    <w:p>
      <w:r>
        <w:t>IV-Stelle Basel-Stadt</w:t>
      </w:r>
    </w:p>
    <w:p>
      <w:r>
        <w:t>Rechtsdienst, Aeschengraben 9, Postfach, 4002 Basel</w:t>
      </w:r>
    </w:p>
    <w:p>
      <w:r>
        <w:t>Beschwerdegegnerin</w:t>
      </w:r>
    </w:p>
    <w:p>
      <w:r>
        <w:t>Gegenstand</w:t>
      </w:r>
    </w:p>
    <w:p>
      <w:r>
        <w:t>IV.2020.153</w:t>
      </w:r>
    </w:p>
    <w:p>
      <w:r>
        <w:t>Verfügung vom 3. November 2020</w:t>
      </w:r>
    </w:p>
    <w:p>
      <w:r>
        <w:t>IV-Rente; Invalideneinkommen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