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IV.2020.149 vom 19. November 2020</w:t>
      </w:r>
    </w:p>
    <w:p>
      <w:r>
        <w:t>Bs Sozialversicherungsgericht, 2020-11-19, DE</w:t>
      </w:r>
    </w:p>
    <w:p>
      <w:r>
        <w:rPr>
          <w:b/>
        </w:rPr>
        <w:t xml:space="preserve">Quelle: </w:t>
      </w:r>
      <w:r>
        <w:t>https://mcp.opencaselaw.ch/entscheid/bs_sozialversicherungsgericht_IV.2020.149</w:t>
      </w:r>
    </w:p>
    <w:p>
      <w:r>
        <w:t>FR: BS_SOZIALVERSICHERUNGSGERICHT IV.2020.149 du 19 novembre 2020</w:t>
      </w:r>
    </w:p>
    <w:p>
      <w:r>
        <w:t>IT: BS_SOZIALVERSICHERUNGSGERICHT IV.2020.149 del 19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August 2021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IV.2020.149</w:t>
      </w:r>
    </w:p>
    <w:p>
      <w:r>
        <w:t>Verfügung vom 19. November 2020</w:t>
      </w:r>
    </w:p>
    <w:p>
      <w:r>
        <w:t>Erneute Anmeldung zum Leistungsbezug kurz nach ablehender Verfügung. Medizinische Einschätzung des RAD, es habe sich nichts Wesentliches geändert, ist beweiskräftig.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