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IV.2020.133 vom 23. September 2020</w:t>
      </w:r>
    </w:p>
    <w:p>
      <w:r>
        <w:t>Bs Sozialversicherungsgericht, 2020-09-23, DE</w:t>
      </w:r>
    </w:p>
    <w:p>
      <w:r>
        <w:rPr>
          <w:b/>
        </w:rPr>
        <w:t xml:space="preserve">Quelle: </w:t>
      </w:r>
      <w:r>
        <w:t>https://mcp.opencaselaw.ch/entscheid/bs_sozialversicherungsgericht_IV.2020.133</w:t>
      </w:r>
    </w:p>
    <w:p>
      <w:r>
        <w:t>FR: BS_SOZIALVERSICHERUNGSGERICHT IV.2020.133 du 23 septembre 2020</w:t>
      </w:r>
    </w:p>
    <w:p>
      <w:r>
        <w:t>IT: BS_SOZIALVERSICHERUNGSGERICHT IV.2020.133 del 23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April 2021</w:t>
      </w:r>
    </w:p>
    <w:p>
      <w:r>
        <w:t>Mitwirkende</w:t>
      </w:r>
    </w:p>
    <w:p>
      <w:r>
        <w:t>lic. iur. K. Zehnder (Vorsitz), P. Waegeli, Dr. med. F. W. Eymann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IV.2020.133</w:t>
      </w:r>
    </w:p>
    <w:p>
      <w:r>
        <w:t>Verfügung vom 23. September 2020</w:t>
      </w:r>
    </w:p>
    <w:p>
      <w:r>
        <w:t>Mit dem Beweisgrad der überwiegenden Wahrscheinlichkeit ist nach Neuanmeldung eine Verschlechterung des Gesundhetiszustandes zu verneinen.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