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IV.2020.131 vom 18. September 2020</w:t>
      </w:r>
    </w:p>
    <w:p>
      <w:r>
        <w:t>Bs Sozialversicherungsgericht, 2020-09-18, DE</w:t>
      </w:r>
    </w:p>
    <w:p>
      <w:r>
        <w:rPr>
          <w:b/>
        </w:rPr>
        <w:t xml:space="preserve">Quelle: </w:t>
      </w:r>
      <w:r>
        <w:t>https://mcp.opencaselaw.ch/entscheid/bs_sozialversicherungsgericht_IV.2020.131</w:t>
      </w:r>
    </w:p>
    <w:p>
      <w:r>
        <w:t>FR: BS_SOZIALVERSICHERUNGSGERICHT IV.2020.131 du 18 septembre 2020</w:t>
      </w:r>
    </w:p>
    <w:p>
      <w:r>
        <w:t>IT: BS_SOZIALVERSICHERUNGSGERICHT IV.2020.131 del 18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Januar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IV.2020.131</w:t>
      </w:r>
    </w:p>
    <w:p>
      <w:r>
        <w:t>Verfügung vom 18. September 2020</w:t>
      </w:r>
    </w:p>
    <w:p>
      <w:r>
        <w:t>Invalidenrente: Abstellen auf Administrativgutachten, gemischte Methode bestätigt; Abweisung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