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IV.2020.103 vom 9. Juli 2020</w:t>
      </w:r>
    </w:p>
    <w:p>
      <w:r>
        <w:t>Bs Sozialversicherungsgericht, 2020-07-09, DE</w:t>
      </w:r>
    </w:p>
    <w:p>
      <w:r>
        <w:rPr>
          <w:b/>
        </w:rPr>
        <w:t xml:space="preserve">Quelle: </w:t>
      </w:r>
      <w:r>
        <w:t>https://mcp.opencaselaw.ch/entscheid/bs_sozialversicherungsgericht_IV.2020.103</w:t>
      </w:r>
    </w:p>
    <w:p>
      <w:r>
        <w:t>FR: BS_SOZIALVERSICHERUNGSGERICHT IV.2020.103 du 9 juillet 2020</w:t>
      </w:r>
    </w:p>
    <w:p>
      <w:r>
        <w:t>IT: BS_SOZIALVERSICHERUNGSGERICHT IV.2020.103 del 9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2021</w:t>
      </w:r>
    </w:p>
    <w:p>
      <w:r>
        <w:t>Mitwirkende</w:t>
      </w:r>
    </w:p>
    <w:p>
      <w:r>
        <w:t>lic. iur. K. Zehnder (Vorsitz), lic. iur. M. Prack Hoenen,</w:t>
      </w:r>
    </w:p>
    <w:p>
      <w:r>
        <w:t>lic. iur. M. Spöndlin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IV.2020.103</w:t>
      </w:r>
    </w:p>
    <w:p>
      <w:r>
        <w:t>Verfügung vom 9. Juli 2020</w:t>
      </w:r>
    </w:p>
    <w:p>
      <w:r>
        <w:t>Gesundheitliche Veränderungen seit letztmaliger umfassender Prüfung des Gesundheitszustandes verneint. Abschluss von Integrationsmassnahmen geschützt.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