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 vom 2. Dezember 2019</w:t>
      </w:r>
    </w:p>
    <w:p>
      <w:r>
        <w:t>Bs Sozialversicherungsgericht, 2019-12-02, DE</w:t>
      </w:r>
    </w:p>
    <w:p>
      <w:r>
        <w:rPr>
          <w:b/>
        </w:rPr>
        <w:t xml:space="preserve">Quelle: </w:t>
      </w:r>
      <w:r>
        <w:t>https://mcp.opencaselaw.ch/entscheid/bs_sozialversicherungsgericht_IV.2020.1</w:t>
      </w:r>
    </w:p>
    <w:p>
      <w:r>
        <w:t>FR: BS_SOZIALVERSICHERUNGSGERICHT IV.2020.1 du 2 décembre 2019</w:t>
      </w:r>
    </w:p>
    <w:p>
      <w:r>
        <w:t>IT: BS_SOZIALVERSICHERUNGSGERICHT IV.2020.1 del 2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August 2020</w:t>
      </w:r>
    </w:p>
    <w:p>
      <w:r>
        <w:t>Mitwirkende</w:t>
      </w:r>
    </w:p>
    <w:p>
      <w:r>
        <w:t>lic. iur. K. Zehnder (Vorsitz), Dr. med. R. von Aarburg,lic. iur. S. Bammatter-Glättli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IV.2020.1</w:t>
      </w:r>
    </w:p>
    <w:p>
      <w:r>
        <w:t>Verfügung vom 2. Dezember 2019</w:t>
      </w:r>
    </w:p>
    <w:p>
      <w:r>
        <w:t>Gutachterlich festgestellte fehlende Umsetzbarkeit der medizinisch-theoretischen Arbeitsfähigkeit von 70-80%; Anspruch auf ganze Rente bejaht mit Auflage im Rahmen der Schadenminderungspflicht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