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IV.2019.96 vom 7. Mai 2019</w:t>
      </w:r>
    </w:p>
    <w:p>
      <w:r>
        <w:t>Bs Sozialversicherungsgericht, 2019-05-07, DE</w:t>
      </w:r>
    </w:p>
    <w:p>
      <w:r>
        <w:rPr>
          <w:b/>
        </w:rPr>
        <w:t xml:space="preserve">Quelle: </w:t>
      </w:r>
      <w:r>
        <w:t>https://mcp.opencaselaw.ch/entscheid/bs_sozialversicherungsgericht_IV.2019.96</w:t>
      </w:r>
    </w:p>
    <w:p>
      <w:r>
        <w:t>FR: BS_SOZIALVERSICHERUNGSGERICHT IV.2019.96 du 7 mai 2019</w:t>
      </w:r>
    </w:p>
    <w:p>
      <w:r>
        <w:t>IT: BS_SOZIALVERSICHERUNGSGERICHT IV.2019.96 del 7 maggio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November 2019</w:t>
      </w:r>
    </w:p>
    <w:p>
      <w:r>
        <w:t>Mitwirkende</w:t>
      </w:r>
    </w:p>
    <w:p>
      <w:r>
        <w:t>lic. iur. K. Zehnder (Vorsitz), lic. iur.M. Prack Hoenen,</w:t>
      </w:r>
    </w:p>
    <w:p>
      <w:r>
        <w:t>lic. iur.M. Spöndlin</w:t>
      </w:r>
    </w:p>
    <w:p>
      <w:r>
        <w:t>und a.o. Gerichtsschreiberin MLaw T. Jakob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C____</w:t>
      </w:r>
    </w:p>
    <w:p>
      <w:r>
        <w:t>Beigeladene</w:t>
      </w:r>
    </w:p>
    <w:p>
      <w:r>
        <w:t>Gegenstand</w:t>
      </w:r>
    </w:p>
    <w:p>
      <w:r>
        <w:t>IV.2019.96</w:t>
      </w:r>
    </w:p>
    <w:p>
      <w:r>
        <w:t>Verfügung vom 7. Mai 2019</w:t>
      </w:r>
    </w:p>
    <w:p>
      <w:r>
        <w:t>Berücksichtigung des Nebenerwerbs bei der Festlegung des Valideneinkommens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                                                    MLaw T. Jakob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