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IV.2019.60 vom 11. November 2019</w:t>
      </w:r>
    </w:p>
    <w:p>
      <w:r>
        <w:t>Bs Sozialversicherungsgericht, 2019-11-11, DE</w:t>
      </w:r>
    </w:p>
    <w:p>
      <w:r>
        <w:rPr>
          <w:b/>
        </w:rPr>
        <w:t xml:space="preserve">Quelle: </w:t>
      </w:r>
      <w:r>
        <w:t>https://mcp.opencaselaw.ch/entscheid/bs_sozialversicherungsgericht_IV.2019.60</w:t>
      </w:r>
    </w:p>
    <w:p>
      <w:r>
        <w:t>FR: BS_SOZIALVERSICHERUNGSGERICHT IV.2019.60 du 11 novembre 2019</w:t>
      </w:r>
    </w:p>
    <w:p>
      <w:r>
        <w:t>IT: BS_SOZIALVERSICHERUNGSGERICHT IV.2019.60 del 11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IV.2019.60</w:t>
      </w:r>
    </w:p>
    <w:p>
      <w:r>
        <w:t>Verfügungen vom 14. Februar 2019 und 2. April 2019</w:t>
      </w:r>
    </w:p>
    <w:p>
      <w:r>
        <w:t>Rückforderung zu Unrecht ausgerichteter Rentenleistungen; Erlass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