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IV.2019.46 vom 18. Januar 2019</w:t>
      </w:r>
    </w:p>
    <w:p>
      <w:r>
        <w:t>Bs Sozialversicherungsgericht, 2019-01-18, DE</w:t>
      </w:r>
    </w:p>
    <w:p>
      <w:r>
        <w:rPr>
          <w:b/>
        </w:rPr>
        <w:t xml:space="preserve">Quelle: </w:t>
      </w:r>
      <w:r>
        <w:t>https://mcp.opencaselaw.ch/entscheid/bs_sozialversicherungsgericht_IV.2019.46</w:t>
      </w:r>
    </w:p>
    <w:p>
      <w:r>
        <w:t>FR: BS_SOZIALVERSICHERUNGSGERICHT IV.2019.46 du 18 janvier 2019</w:t>
      </w:r>
    </w:p>
    <w:p>
      <w:r>
        <w:t>IT: BS_SOZIALVERSICHERUNGSGERICHT IV.2019.46 del 18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Dezember 2019</w:t>
      </w:r>
    </w:p>
    <w:p>
      <w:r>
        <w:t>Mitwirkende</w:t>
      </w:r>
    </w:p>
    <w:p>
      <w:r>
        <w:t>Dr. G. Thomi (Vorsitz), Dr. med. W. Rühl, MLaw M. Kreis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IV.2019.46</w:t>
      </w:r>
    </w:p>
    <w:p>
      <w:r>
        <w:t>Verfügung vom 18. Januar 2019</w:t>
      </w:r>
    </w:p>
    <w:p>
      <w:r>
        <w:t>Leistungspflicht für GG 405 bejaht.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