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IV.2019.45 vom 22. Januar 2019</w:t>
      </w:r>
    </w:p>
    <w:p>
      <w:r>
        <w:t>Bs Sozialversicherungsgericht, 2019-01-22, DE</w:t>
      </w:r>
    </w:p>
    <w:p>
      <w:r>
        <w:rPr>
          <w:b/>
        </w:rPr>
        <w:t xml:space="preserve">Quelle: </w:t>
      </w:r>
      <w:r>
        <w:t>https://mcp.opencaselaw.ch/entscheid/bs_sozialversicherungsgericht_IV.2019.45</w:t>
      </w:r>
    </w:p>
    <w:p>
      <w:r>
        <w:t>FR: BS_SOZIALVERSICHERUNGSGERICHT IV.2019.45 du 22 janvier 2019</w:t>
      </w:r>
    </w:p>
    <w:p>
      <w:r>
        <w:t>IT: BS_SOZIALVERSICHERUNGSGERICHT IV.2019.45 del 22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Januar 2021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IV.2019.45</w:t>
      </w:r>
    </w:p>
    <w:p>
      <w:r>
        <w:t>Verfügung vom 22. Januar 2019</w:t>
      </w:r>
    </w:p>
    <w:p>
      <w:r>
        <w:t>Gerichtsgutachten, Revision nach Art. 17 ATSG, Wiedererwägung nach Art. 53 Abs. 2 ATSG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