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IV.2019.43 vom 22. Januar 2019</w:t>
      </w:r>
    </w:p>
    <w:p>
      <w:r>
        <w:t>Bs Sozialversicherungsgericht, 2019-01-22, DE</w:t>
      </w:r>
    </w:p>
    <w:p>
      <w:r>
        <w:rPr>
          <w:b/>
        </w:rPr>
        <w:t xml:space="preserve">Quelle: </w:t>
      </w:r>
      <w:r>
        <w:t>https://mcp.opencaselaw.ch/entscheid/bs_sozialversicherungsgericht_IV.2019.43</w:t>
      </w:r>
    </w:p>
    <w:p>
      <w:r>
        <w:t>FR: BS_SOZIALVERSICHERUNGSGERICHT IV.2019.43 du 22 janvier 2019</w:t>
      </w:r>
    </w:p>
    <w:p>
      <w:r>
        <w:t>IT: BS_SOZIALVERSICHERUNGSGERICHT IV.2019.43 del 22 gennaio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April 2020</w:t>
      </w:r>
    </w:p>
    <w:p>
      <w:r>
        <w:t>Mitwirkende</w:t>
      </w:r>
    </w:p>
    <w:p>
      <w:r>
        <w:t>Dr. G. Thomi (Vorsitz), Dr. med. W. Rühl, lic. iur. S. Bammatter-Glättli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IV.2019.43</w:t>
      </w:r>
    </w:p>
    <w:p>
      <w:r>
        <w:t>Verfügung vom 22. Januar 2019</w:t>
      </w:r>
    </w:p>
    <w:p>
      <w:r>
        <w:t>Auf das im UV-Verfahren erstellte Gerichtsgutachten kann abgestellt werden, da keine unfallfremden Beschwerden vorliegen. Verlauf der Arbeitsfähigkeit richtet sich nach echtzeitlich attestierten Arbeitsunfähigkeiten. Kein leidensbedingter Abzug aufgrund Alter.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