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IV.2019.41 vom 13. Februar 2019</w:t>
      </w:r>
    </w:p>
    <w:p>
      <w:r>
        <w:t>Bs Sozialversicherungsgericht, 2019-02-13, DE</w:t>
      </w:r>
    </w:p>
    <w:p>
      <w:r>
        <w:rPr>
          <w:b/>
        </w:rPr>
        <w:t xml:space="preserve">Quelle: </w:t>
      </w:r>
      <w:r>
        <w:t>https://mcp.opencaselaw.ch/entscheid/bs_sozialversicherungsgericht_IV.2019.41</w:t>
      </w:r>
    </w:p>
    <w:p>
      <w:r>
        <w:t>FR: BS_SOZIALVERSICHERUNGSGERICHT IV.2019.41 du 13 février 2019</w:t>
      </w:r>
    </w:p>
    <w:p>
      <w:r>
        <w:t>IT: BS_SOZIALVERSICHERUNGSGERICHT IV.2019.41 del 13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2019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IV.2019.41</w:t>
      </w:r>
    </w:p>
    <w:p>
      <w:r>
        <w:t>Verfügung vom 13. Februar 2019</w:t>
      </w:r>
    </w:p>
    <w:p>
      <w:r>
        <w:t>Dem psychiatrischen Administrativgutachten kommt volle Beweiskraft zu, Berichte des behandelnden Arztes vermögen dieses nicht in Zweifel zu ziehen; Beschwerde wird abgewiesen.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