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IV.2019.33 vom 14. Januar 2019</w:t>
      </w:r>
    </w:p>
    <w:p>
      <w:r>
        <w:t>Bs Sozialversicherungsgericht, 2019-01-14, DE</w:t>
      </w:r>
    </w:p>
    <w:p>
      <w:r>
        <w:rPr>
          <w:b/>
        </w:rPr>
        <w:t xml:space="preserve">Quelle: </w:t>
      </w:r>
      <w:r>
        <w:t>https://mcp.opencaselaw.ch/entscheid/bs_sozialversicherungsgericht_IV.2019.33</w:t>
      </w:r>
    </w:p>
    <w:p>
      <w:r>
        <w:t>FR: BS_SOZIALVERSICHERUNGSGERICHT IV.2019.33 du 14 janvier 2019</w:t>
      </w:r>
    </w:p>
    <w:p>
      <w:r>
        <w:t>IT: BS_SOZIALVERSICHERUNGSGERICHT IV.2019.33 del 14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Oktober 2021</w:t>
      </w:r>
    </w:p>
    <w:p>
      <w:r>
        <w:t>Mitwirkende</w:t>
      </w:r>
    </w:p>
    <w:p>
      <w:r>
        <w:t>lic. iur. K. Zehnder (Vorsitz), P. Kaderli, Dr. med.R. von Aarburg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Advokat[...]</w:t>
      </w:r>
    </w:p>
    <w:p>
      <w:r>
        <w:t>Beschwerdeführerin</w:t>
      </w:r>
    </w:p>
    <w:p>
      <w:r>
        <w:t>IV-Stelle Basel-Stadt</w:t>
      </w:r>
    </w:p>
    <w:p>
      <w:r>
        <w:t>RechtsdienstAeschengraben 9, Postfach, 4002 Basel</w:t>
      </w:r>
    </w:p>
    <w:p>
      <w:r>
        <w:t>Beschwerdegegnerin</w:t>
      </w:r>
    </w:p>
    <w:p>
      <w:r>
        <w:t>Gegenstand</w:t>
      </w:r>
    </w:p>
    <w:p>
      <w:r>
        <w:t>IV.2019.33</w:t>
      </w:r>
    </w:p>
    <w:p>
      <w:r>
        <w:t>Verfügung vom 14. Januar 2019</w:t>
      </w:r>
    </w:p>
    <w:p>
      <w:r>
        <w:t>Beschwerde gutgeheissen; Verwertbarkeit der Restarbeitsfähigkeit in einer Verweistätigkeit auf dem ersten Arbeitsmarkt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