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IV.2019.21 vom 9. Januar 2019</w:t>
      </w:r>
    </w:p>
    <w:p>
      <w:r>
        <w:t>Bs Sozialversicherungsgericht, 2019-01-09, DE</w:t>
      </w:r>
    </w:p>
    <w:p>
      <w:r>
        <w:rPr>
          <w:b/>
        </w:rPr>
        <w:t xml:space="preserve">Quelle: </w:t>
      </w:r>
      <w:r>
        <w:t>https://mcp.opencaselaw.ch/entscheid/bs_sozialversicherungsgericht_IV.2019.21</w:t>
      </w:r>
    </w:p>
    <w:p>
      <w:r>
        <w:t>FR: BS_SOZIALVERSICHERUNGSGERICHT IV.2019.21 du 9 janvier 2019</w:t>
      </w:r>
    </w:p>
    <w:p>
      <w:r>
        <w:t>IT: BS_SOZIALVERSICHERUNGSGERICHT IV.2019.21 del 9 gennaio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vom4. Dezember 2019</w:t>
      </w:r>
    </w:p>
    <w:p>
      <w:r>
        <w:t>Mitwirkende</w:t>
      </w:r>
    </w:p>
    <w:p>
      <w:r>
        <w:t>Dr. A. Pfleiderer (Vorsitz), P. Waegeli, lic. iur. R. Schnyder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lic. iur.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IV.2019.21</w:t>
      </w:r>
    </w:p>
    <w:p>
      <w:r>
        <w:t>Verfügung vom 9. Januar 2019</w:t>
      </w:r>
    </w:p>
    <w:p>
      <w:r>
        <w:t>Unfall mit schwerer Handverletzung: Arbeitsfähigkeit wie Unfallversicherer, keine psychisch bedingten Beeinträchtigungen ausgewiesen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