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IV.2019.151 vom 11. Juli 2019</w:t>
      </w:r>
    </w:p>
    <w:p>
      <w:r>
        <w:t>Bs Sozialversicherungsgericht, 2019-07-11, DE</w:t>
      </w:r>
    </w:p>
    <w:p>
      <w:r>
        <w:rPr>
          <w:b/>
        </w:rPr>
        <w:t xml:space="preserve">Quelle: </w:t>
      </w:r>
      <w:r>
        <w:t>https://mcp.opencaselaw.ch/entscheid/bs_sozialversicherungsgericht_IV.2019.151</w:t>
      </w:r>
    </w:p>
    <w:p>
      <w:r>
        <w:t>FR: BS_SOZIALVERSICHERUNGSGERICHT IV.2019.151 du 11 juillet 2019</w:t>
      </w:r>
    </w:p>
    <w:p>
      <w:r>
        <w:t>IT: BS_SOZIALVERSICHERUNGSGERICHT IV.2019.151 del 11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vom27. November 2019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IV.2019.151</w:t>
      </w:r>
    </w:p>
    <w:p>
      <w:r>
        <w:t>Verfügung vom 11. Juli 2019</w:t>
      </w:r>
    </w:p>
    <w:p>
      <w:r>
        <w:t>Eintreten auf ein Revisionsgesuch (Art. 87 Abs. 2 IVV)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