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IV.2019.116 vom 28. Mai 2019</w:t>
      </w:r>
    </w:p>
    <w:p>
      <w:r>
        <w:t>Bs Sozialversicherungsgericht, 2019-05-28, DE</w:t>
      </w:r>
    </w:p>
    <w:p>
      <w:r>
        <w:rPr>
          <w:b/>
        </w:rPr>
        <w:t xml:space="preserve">Quelle: </w:t>
      </w:r>
      <w:r>
        <w:t>https://mcp.opencaselaw.ch/entscheid/bs_sozialversicherungsgericht_IV.2019.116</w:t>
      </w:r>
    </w:p>
    <w:p>
      <w:r>
        <w:t>FR: BS_SOZIALVERSICHERUNGSGERICHT IV.2019.116 du 28 mai 2019</w:t>
      </w:r>
    </w:p>
    <w:p>
      <w:r>
        <w:t>IT: BS_SOZIALVERSICHERUNGSGERICHT IV.2019.116 del 28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2019</w:t>
      </w:r>
    </w:p>
    <w:p>
      <w:r>
        <w:t>Mitwirkende</w:t>
      </w:r>
    </w:p>
    <w:p>
      <w:r>
        <w:t>Dr. A. Pfleiderer (Vorsitz), Dr. med. W. Rühl,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IV.2019.116</w:t>
      </w:r>
    </w:p>
    <w:p>
      <w:r>
        <w:t>Verfügung vom 28. Mai 2019</w:t>
      </w:r>
    </w:p>
    <w:p>
      <w:r>
        <w:t>Neurologisches Administrativgutachten ist beweistauglich; psychiatrische Expertise ist nicht beweiskräftig, da ungenügende Auseinandersetzung mit gegenteiligen Arztberichten, oberflächliche Prüfung der Standardindikatoren und keine Beurteilung des Arbeitsunfähigkeitsverlaufs; Rückweisung zur Einholung eines psychiatrischen Gutachtens.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