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IV.2019.115 vom 23. Mai 2019</w:t>
      </w:r>
    </w:p>
    <w:p>
      <w:r>
        <w:t>Bs Sozialversicherungsgericht, 2019-05-23, DE</w:t>
      </w:r>
    </w:p>
    <w:p>
      <w:r>
        <w:rPr>
          <w:b/>
        </w:rPr>
        <w:t xml:space="preserve">Quelle: </w:t>
      </w:r>
      <w:r>
        <w:t>https://mcp.opencaselaw.ch/entscheid/bs_sozialversicherungsgericht_IV.2019.115</w:t>
      </w:r>
    </w:p>
    <w:p>
      <w:r>
        <w:t>FR: BS_SOZIALVERSICHERUNGSGERICHT IV.2019.115 du 23 mai 2019</w:t>
      </w:r>
    </w:p>
    <w:p>
      <w:r>
        <w:t>IT: BS_SOZIALVERSICHERUNGSGERICHT IV.2019.115 del 23 maggio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Oktober 2019</w:t>
      </w:r>
    </w:p>
    <w:p>
      <w:r>
        <w:t>Mitwirkende</w:t>
      </w:r>
    </w:p>
    <w:p>
      <w:r>
        <w:t>Dr. G. Thomi (Vorsitz), Dr. med. C. Karli, lic. iur. S. Bammatter-Glättli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IV.2019.115</w:t>
      </w:r>
    </w:p>
    <w:p>
      <w:r>
        <w:t>Verfügung vom 23. Mai 2019</w:t>
      </w:r>
    </w:p>
    <w:p>
      <w:r>
        <w:t>Beweiswert eines medizinischen Gutachtens; vorliegend erfüllt.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