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IV.2019.113 vom 4. Juni 2019</w:t>
      </w:r>
    </w:p>
    <w:p>
      <w:r>
        <w:t>Bs Sozialversicherungsgericht, 2019-06-04, DE</w:t>
      </w:r>
    </w:p>
    <w:p>
      <w:r>
        <w:rPr>
          <w:b/>
        </w:rPr>
        <w:t xml:space="preserve">Quelle: </w:t>
      </w:r>
      <w:r>
        <w:t>https://mcp.opencaselaw.ch/entscheid/bs_sozialversicherungsgericht_IV.2019.113</w:t>
      </w:r>
    </w:p>
    <w:p>
      <w:r>
        <w:t>FR: BS_SOZIALVERSICHERUNGSGERICHT IV.2019.113 du 4 juin 2019</w:t>
      </w:r>
    </w:p>
    <w:p>
      <w:r>
        <w:t>IT: BS_SOZIALVERSICHERUNGSGERICHT IV.2019.113 del 4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IV.2019.113</w:t>
      </w:r>
    </w:p>
    <w:p>
      <w:r>
        <w:t>Verfügung vom 4. Juni 2019</w:t>
      </w:r>
    </w:p>
    <w:p>
      <w:r>
        <w:t>Zusprache einer Hilflosenentschädigung mittleren Grades ist rechtens; bei Minderjährigen ist nur der Mehrbedarf im Vergleich zu nicht behinderten Minderjährigen gleichen Alters zu berücksichtigen; Abklärungsbericht ist beweistauglich.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