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IV.2018.98 vom 3. Mai 2018</w:t>
      </w:r>
    </w:p>
    <w:p>
      <w:r>
        <w:t>Bs Sozialversicherungsgericht, 2018-05-03, DE</w:t>
      </w:r>
    </w:p>
    <w:p>
      <w:r>
        <w:rPr>
          <w:b/>
        </w:rPr>
        <w:t xml:space="preserve">Quelle: </w:t>
      </w:r>
      <w:r>
        <w:t>https://mcp.opencaselaw.ch/entscheid/bs_sozialversicherungsgericht_IV.2018.98</w:t>
      </w:r>
    </w:p>
    <w:p>
      <w:r>
        <w:t>FR: BS_SOZIALVERSICHERUNGSGERICHT IV.2018.98 du 3 mai 2018</w:t>
      </w:r>
    </w:p>
    <w:p>
      <w:r>
        <w:t>IT: BS_SOZIALVERSICHERUNGSGERICHT IV.2018.98 del 3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IV.2018.98</w:t>
      </w:r>
    </w:p>
    <w:p>
      <w:r>
        <w:t>Verfügung vom 3. Mai 2018</w:t>
      </w:r>
    </w:p>
    <w:p>
      <w:r>
        <w:t>Verletzung des rechtlichen Gehörs verneint; es kann auf RAD-Berichte abgestellt werden, weitere Abklärungen sind nicht erforderlich; kein Anspruch auf berufliche Massnahmen.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