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IV.2018.74 vom 6. April 2018</w:t>
      </w:r>
    </w:p>
    <w:p>
      <w:r>
        <w:t>Bs Sozialversicherungsgericht, 2018-04-06, DE</w:t>
      </w:r>
    </w:p>
    <w:p>
      <w:r>
        <w:rPr>
          <w:b/>
        </w:rPr>
        <w:t xml:space="preserve">Quelle: </w:t>
      </w:r>
      <w:r>
        <w:t>https://mcp.opencaselaw.ch/entscheid/bs_sozialversicherungsgericht_IV.2018.74</w:t>
      </w:r>
    </w:p>
    <w:p>
      <w:r>
        <w:t>FR: BS_SOZIALVERSICHERUNGSGERICHT IV.2018.74 du 6 avril 2018</w:t>
      </w:r>
    </w:p>
    <w:p>
      <w:r>
        <w:t>IT: BS_SOZIALVERSICHERUNGSGERICHT IV.2018.74 del 6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2018</w:t>
      </w:r>
    </w:p>
    <w:p>
      <w:r>
        <w:t>Mitwirkende</w:t>
      </w:r>
    </w:p>
    <w:p>
      <w:r>
        <w:t>Dr. A. Pfleiderer (Vorsitz), C. Müller,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IV.2018.74</w:t>
      </w:r>
    </w:p>
    <w:p>
      <w:r>
        <w:t>Verfügung vom 6. April 2018</w:t>
      </w:r>
    </w:p>
    <w:p>
      <w:r>
        <w:t>Gehörsverletzung im Beschwerdeverfahren /</w:t>
      </w:r>
    </w:p>
    <w:p>
      <w:r>
        <w:t>Beweiskraft eines Administrativgutachtens, vorliegend erfüllt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