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IV.2018.68 vom 19. März 2018</w:t>
      </w:r>
    </w:p>
    <w:p>
      <w:r>
        <w:t>Bs Sozialversicherungsgericht, 2018-03-19, DE</w:t>
      </w:r>
    </w:p>
    <w:p>
      <w:r>
        <w:rPr>
          <w:b/>
        </w:rPr>
        <w:t xml:space="preserve">Quelle: </w:t>
      </w:r>
      <w:r>
        <w:t>https://mcp.opencaselaw.ch/entscheid/bs_sozialversicherungsgericht_IV.2018.68</w:t>
      </w:r>
    </w:p>
    <w:p>
      <w:r>
        <w:t>FR: BS_SOZIALVERSICHERUNGSGERICHT IV.2018.68 du 19 mars 2018</w:t>
      </w:r>
    </w:p>
    <w:p>
      <w:r>
        <w:t>IT: BS_SOZIALVERSICHERUNGSGERICHT IV.2018.68 del 19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IV.2018.68</w:t>
      </w:r>
    </w:p>
    <w:p>
      <w:r>
        <w:t>Verfügung vom 19. März 2018</w:t>
      </w:r>
    </w:p>
    <w:p>
      <w:r>
        <w:t>Neuanmeldung; dem Gerichtsgutachten kommt volle Beweiskraft zu; aufgrund hochdossierter antipsychotischer Medikation ist Beschwerdeführer zu 100% arbeitsunfähig; Veränderung in den tatsächlichen Verhältnissen gemäss Art. 17 ATSG kann bejaht werden; Zusprache einer ganzen Rente; Schadenminderungsauflage gemäss Art. 21 Abs. 4 ATSG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