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IV.2018.57 vom 2. März 2018</w:t>
      </w:r>
    </w:p>
    <w:p>
      <w:r>
        <w:t>Bs Sozialversicherungsgericht, 2018-03-02, DE</w:t>
      </w:r>
    </w:p>
    <w:p>
      <w:r>
        <w:rPr>
          <w:b/>
        </w:rPr>
        <w:t xml:space="preserve">Quelle: </w:t>
      </w:r>
      <w:r>
        <w:t>https://mcp.opencaselaw.ch/entscheid/bs_sozialversicherungsgericht_IV.2018.57</w:t>
      </w:r>
    </w:p>
    <w:p>
      <w:r>
        <w:t>FR: BS_SOZIALVERSICHERUNGSGERICHT IV.2018.57 du 2 mars 2018</w:t>
      </w:r>
    </w:p>
    <w:p>
      <w:r>
        <w:t>IT: BS_SOZIALVERSICHERUNGSGERICHT IV.2018.57 del 2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Juni 2019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Behindertenforum,</w:t>
      </w:r>
    </w:p>
    <w:p>
      <w:r>
        <w:t>Frau lic. iur. B____,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IV.2018.57</w:t>
      </w:r>
    </w:p>
    <w:p>
      <w:r>
        <w:t>Verfügung vom 2. März 2018</w:t>
      </w:r>
    </w:p>
    <w:p>
      <w:r>
        <w:t>Anspruch auf eine Invalidenrente infolge eines Gerichtsgutachtens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