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IV.2018.44 vom 12. Februar 2018</w:t>
      </w:r>
    </w:p>
    <w:p>
      <w:r>
        <w:t>Bs Sozialversicherungsgericht, 2018-02-12, DE</w:t>
      </w:r>
    </w:p>
    <w:p>
      <w:r>
        <w:rPr>
          <w:b/>
        </w:rPr>
        <w:t xml:space="preserve">Quelle: </w:t>
      </w:r>
      <w:r>
        <w:t>https://mcp.opencaselaw.ch/entscheid/bs_sozialversicherungsgericht_IV.2018.44</w:t>
      </w:r>
    </w:p>
    <w:p>
      <w:r>
        <w:t>FR: BS_SOZIALVERSICHERUNGSGERICHT IV.2018.44 du 12 février 2018</w:t>
      </w:r>
    </w:p>
    <w:p>
      <w:r>
        <w:t>IT: BS_SOZIALVERSICHERUNGSGERICHT IV.2018.44 del 12 febbraio 2018</w:t>
      </w:r>
    </w:p>
    <w:p>
      <w:pPr>
        <w:pStyle w:val="Heading2"/>
      </w:pPr>
      <w:r>
        <w:t>Volltext</w:t>
      </w:r>
    </w:p>
    <w:p>
      <w:r>
        <w:t>Sozialversicherungsgericht</w:t>
      </w:r>
    </w:p>
    <w:p>
      <w:r>
        <w:t>des Kantons Basel-Stadt</w:t>
      </w:r>
    </w:p>
    <w:p>
      <w:r>
        <w:t>URTEIL</w:t>
      </w:r>
    </w:p>
    <w:p>
      <w:r>
        <w:t>vom11. September 2018</w:t>
      </w:r>
    </w:p>
    <w:p>
      <w:r>
        <w:t>Mitwirkende</w:t>
      </w:r>
    </w:p>
    <w:p>
      <w:r>
        <w:t>Dr. A. Pfleiderer (Vorsitz), lic. iur. M. Spöndlin, lic. iur. A. Lesmann-Schaub</w:t>
      </w:r>
    </w:p>
    <w:p>
      <w:r>
        <w:t>und Gerichtsschreiberin lic. iur. H. Hofer</w:t>
      </w:r>
    </w:p>
    <w:p>
      <w:r>
        <w:t>Parteien</w:t>
      </w:r>
    </w:p>
    <w:p>
      <w:r>
        <w:t>A____</w:t>
      </w:r>
    </w:p>
    <w:p>
      <w:r>
        <w:t>vertreten durch lic. iur. B____</w:t>
      </w:r>
    </w:p>
    <w:p>
      <w:r>
        <w:t>Beschwerdeführer</w:t>
      </w:r>
    </w:p>
    <w:p>
      <w:r>
        <w:t>IV-Stelle Basel-Stadt</w:t>
      </w:r>
    </w:p>
    <w:p>
      <w:r>
        <w:t>Rechtsdienst, Lange Gasse 7, Postfach, 4002 Basel</w:t>
      </w:r>
    </w:p>
    <w:p>
      <w:r>
        <w:t>Beschwerdegegnerin</w:t>
      </w:r>
    </w:p>
    <w:p>
      <w:r>
        <w:t>Gegenstand</w:t>
      </w:r>
    </w:p>
    <w:p>
      <w:r>
        <w:t>IV.2018.44</w:t>
      </w:r>
    </w:p>
    <w:p>
      <w:r>
        <w:t>Verfügung vom 12. Februar 2018</w:t>
      </w:r>
    </w:p>
    <w:p>
      <w:r>
        <w:t>Wiederanmeldung bei verschlechtertem Gesundheitszustand</w:t>
      </w:r>
    </w:p>
    <w:p>
      <w:r>
        <w:t>3.2.Tritt die Verwaltung auf eine Neuanmeldung ein, so hat sie die Sache materiell abzuklären und zu prüfen, ob die von der versicherten Person glaubhaft gemachten Veränderungen des Invaliditätsgrades auch tatsächlich eingetreten sind (BGE 130 V 71, 73 Erw. 3.1). Sie hat somit analog einem Revisionsfall nach Art. 17 ATSG vorzugehen.</w:t>
      </w:r>
    </w:p>
    <w:p>
      <w:r>
        <w:t>Zeitlicher Referenzpunkt für die Prüfung einer anspruchserheblichen Änderung bei einer Rentenrevision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(BGE 133 V 108, 114). Vorliegend ist mit anderen Worten zu untersuchen, ob sich der Gesundheitszustand des Beschwerdeführers seit 2011 in einem Masse verändert hat, das sich auf die Rentenberechtigung des Beschwerdeführers auswirkt. Der Beschwerdeführer hat sich im Mai 2012 wieder angemeldet, ein allfälliger Rentenanspruch wäre folglich frühestens ab November 2012 möglich (Art. 29 Abs. 1 IVG).</w:t>
      </w:r>
    </w:p>
    <w:p>
      <w:r>
        <w:t>4.</w:t>
      </w:r>
    </w:p>
    <w:p>
      <w:r>
        <w:t>4.1.Um beurteilen zu können, ob sich der Gesundheitszustand der versicherten Person in massgeblicher Weise verändert hat, ist die Verwaltung (und im Beschwerdefall das Gericht) auf Unterlagen angewiesen, die ärztliche und gegebenenfalls auch andere Fachpersonen zur Verfügung zu stellen haben. Aufgabe des Arztes ist es dabei, den Gesundheitszustand der versicherten Person zu beurteilen und dazu Stellung zu nehmen, in welchem Umfang und bezüglich welcher Tätigkeiten sie noch arbeitsfähig ist. Für die Bestimmung dieser Leistungsfähigkeit sind zunächst, mit Blick auf die für die Beweiswürdigung massgeblichen Grundsätze (BGE 125 V 351, 135 V 465), die bei den Akten liegenden relevanten medizinischen Unterlagen zu beleuchten.</w:t>
      </w:r>
    </w:p>
    <w:p>
      <w:r>
        <w:t>Die Präsidentin                                                 Die Gerichtsschreiberin</w:t>
      </w:r>
    </w:p>
    <w:p>
      <w:r>
        <w:t>Dr. A. Pfleidererlic.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