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IV.2018.39 vom 7. Februar 2018</w:t>
      </w:r>
    </w:p>
    <w:p>
      <w:r>
        <w:t>Bs Sozialversicherungsgericht, 2018-02-07, DE</w:t>
      </w:r>
    </w:p>
    <w:p>
      <w:r>
        <w:rPr>
          <w:b/>
        </w:rPr>
        <w:t xml:space="preserve">Quelle: </w:t>
      </w:r>
      <w:r>
        <w:t>https://mcp.opencaselaw.ch/entscheid/bs_sozialversicherungsgericht_IV.2018.39</w:t>
      </w:r>
    </w:p>
    <w:p>
      <w:r>
        <w:t>FR: BS_SOZIALVERSICHERUNGSGERICHT IV.2018.39 du 7 février 2018</w:t>
      </w:r>
    </w:p>
    <w:p>
      <w:r>
        <w:t>IT: BS_SOZIALVERSICHERUNGSGERICHT IV.2018.39 del 7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2018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IV.2018.39</w:t>
      </w:r>
    </w:p>
    <w:p>
      <w:r>
        <w:t>Verfügung vom 7. Februar 2018</w:t>
      </w:r>
    </w:p>
    <w:p>
      <w:r>
        <w:t>Dem Administrativgutachten kommt keine Beweiskraft zu; Veränderung des Gesundheitszustandes ist nicht nachgewiesen; weiterhin Anspruch auf eine Dreiviertelsrente.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