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IV.2018.30 vom 11. Januar 2018</w:t>
      </w:r>
    </w:p>
    <w:p>
      <w:r>
        <w:t>Bs Sozialversicherungsgericht, 2018-01-11, DE</w:t>
      </w:r>
    </w:p>
    <w:p>
      <w:r>
        <w:rPr>
          <w:b/>
        </w:rPr>
        <w:t xml:space="preserve">Quelle: </w:t>
      </w:r>
      <w:r>
        <w:t>https://mcp.opencaselaw.ch/entscheid/bs_sozialversicherungsgericht_IV.2018.30</w:t>
      </w:r>
    </w:p>
    <w:p>
      <w:r>
        <w:t>FR: BS_SOZIALVERSICHERUNGSGERICHT IV.2018.30 du 11 janvier 2018</w:t>
      </w:r>
    </w:p>
    <w:p>
      <w:r>
        <w:t>IT: BS_SOZIALVERSICHERUNGSGERICHT IV.2018.30 del 11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2018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IV.2018.30</w:t>
      </w:r>
    </w:p>
    <w:p>
      <w:r>
        <w:t>Verfügung vom 11. Januar 2018</w:t>
      </w:r>
    </w:p>
    <w:p>
      <w:r>
        <w:t>polydisziplinärem und psychiatrischem Gutachten kommt volle Beweiskraft zu, Arztbericht des Facharztes vermag polydisziplinäres Gutachten nicht in Zweifel zu ziehen; Beschwerde wird abgewiesen.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