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IV.2018.21 vom 5. Januar 2018</w:t>
      </w:r>
    </w:p>
    <w:p>
      <w:r>
        <w:t>Bs Sozialversicherungsgericht, 2018-01-05, DE</w:t>
      </w:r>
    </w:p>
    <w:p>
      <w:r>
        <w:rPr>
          <w:b/>
        </w:rPr>
        <w:t xml:space="preserve">Quelle: </w:t>
      </w:r>
      <w:r>
        <w:t>https://mcp.opencaselaw.ch/entscheid/bs_sozialversicherungsgericht_IV.2018.21</w:t>
      </w:r>
    </w:p>
    <w:p>
      <w:r>
        <w:t>FR: BS_SOZIALVERSICHERUNGSGERICHT IV.2018.21 du 5 janvier 2018</w:t>
      </w:r>
    </w:p>
    <w:p>
      <w:r>
        <w:t>IT: BS_SOZIALVERSICHERUNGSGERICHT IV.2018.21 del 5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2018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IV.2018.21</w:t>
      </w:r>
    </w:p>
    <w:p>
      <w:r>
        <w:t>Verfügung vom 5. Januar 2018</w:t>
      </w:r>
    </w:p>
    <w:p>
      <w:r>
        <w:t>Administrativgutachten kommt volle Beweiskraft zu; Restarbeitsfähigkeit ist wirtschaftlich verwertbar; Gewährung eines leidensbedingten Abzugs aufgrund Einschränkungen an der rechten dominanten Hand; Zusprache einer Viertelsrente vorbehältlich der Zeiträume, in welchen Taggeld bezogen wurde.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        Beigeladene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