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 vom 16. Oktober 2018</w:t>
      </w:r>
    </w:p>
    <w:p>
      <w:r>
        <w:t>Bs Sozialversicherungsgericht, 2018-10-16, DE</w:t>
      </w:r>
    </w:p>
    <w:p>
      <w:r>
        <w:rPr>
          <w:b/>
        </w:rPr>
        <w:t xml:space="preserve">Quelle: </w:t>
      </w:r>
      <w:r>
        <w:t>https://mcp.opencaselaw.ch/entscheid/bs_sozialversicherungsgericht_IV.2018.2</w:t>
      </w:r>
    </w:p>
    <w:p>
      <w:r>
        <w:t>FR: BS_SOZIALVERSICHERUNGSGERICHT IV.2018.2 du 16 octobre 2018</w:t>
      </w:r>
    </w:p>
    <w:p>
      <w:r>
        <w:t>IT: BS_SOZIALVERSICHERUNGSGERICHT IV.2018.2 del 16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2018</w:t>
      </w:r>
    </w:p>
    <w:p>
      <w:r>
        <w:t>Mitwirkende</w:t>
      </w:r>
    </w:p>
    <w:p>
      <w:r>
        <w:t>Dr. A. Pfleiderer (Vorsitz), Dr. med. W. Rühl, lic. iur. A. Lesmann-Schaub</w:t>
      </w:r>
    </w:p>
    <w:p>
      <w:r>
        <w:t>und Gerichtsschreiberin MLaw P. Müller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</w:t>
      </w:r>
    </w:p>
    <w:p>
      <w:r>
        <w:t>Invalidenrente</w:t>
      </w:r>
    </w:p>
    <w:p>
      <w:r>
        <w:t>Beweiswert RAD-Berichte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P. Müller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