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IV.2018.178 vom 7. Mai 2019</w:t>
      </w:r>
    </w:p>
    <w:p>
      <w:r>
        <w:t>Bs Sozialversicherungsgericht, 2019-05-07, DE</w:t>
      </w:r>
    </w:p>
    <w:p>
      <w:r>
        <w:rPr>
          <w:b/>
        </w:rPr>
        <w:t xml:space="preserve">Quelle: </w:t>
      </w:r>
      <w:r>
        <w:t>https://mcp.opencaselaw.ch/entscheid/bs_sozialversicherungsgericht_IV.2018.178</w:t>
      </w:r>
    </w:p>
    <w:p>
      <w:r>
        <w:t>FR: BS_SOZIALVERSICHERUNGSGERICHT IV.2018.178 du 7 mai 2019</w:t>
      </w:r>
    </w:p>
    <w:p>
      <w:r>
        <w:t>IT: BS_SOZIALVERSICHERUNGSGERICHT IV.2018.178 del 7 maggio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Mai 2019</w:t>
      </w:r>
    </w:p>
    <w:p>
      <w:r>
        <w:t>Mitwirkende</w:t>
      </w:r>
    </w:p>
    <w:p>
      <w:r>
        <w:t>Dr. G. Thomi (Vorsitz), C. Müller, MLaw M. Kreis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IV.2018.178</w:t>
      </w:r>
    </w:p>
    <w:p>
      <w:r>
        <w:t>Verfügungen vom 17. September 2018 und 24. August 2018</w:t>
      </w:r>
    </w:p>
    <w:p>
      <w:r>
        <w:t>Beweiswert der Beurteilung durch den Regionalen Ärztlichen Dienst. Wirtschaftliche Verwertbarkeit der Restarbeitsfähigkeit.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