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IV.2018.172 vom 3. September 2018</w:t>
      </w:r>
    </w:p>
    <w:p>
      <w:r>
        <w:t>Bs Sozialversicherungsgericht, 2018-09-03, DE</w:t>
      </w:r>
    </w:p>
    <w:p>
      <w:r>
        <w:rPr>
          <w:b/>
        </w:rPr>
        <w:t xml:space="preserve">Quelle: </w:t>
      </w:r>
      <w:r>
        <w:t>https://mcp.opencaselaw.ch/entscheid/bs_sozialversicherungsgericht_IV.2018.172</w:t>
      </w:r>
    </w:p>
    <w:p>
      <w:r>
        <w:t>FR: BS_SOZIALVERSICHERUNGSGERICHT IV.2018.172 du 3 septembre 2018</w:t>
      </w:r>
    </w:p>
    <w:p>
      <w:r>
        <w:t>IT: BS_SOZIALVERSICHERUNGSGERICHT IV.2018.172 del 3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Dezember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IV.2018.172</w:t>
      </w:r>
    </w:p>
    <w:p>
      <w:r>
        <w:t>Verfügung vom 3. September 2018</w:t>
      </w:r>
    </w:p>
    <w:p>
      <w:r>
        <w:t>Invaliditätsbemessung; Rückweisung zur weiteren Abklärung des Valideneinkommens</w:t>
      </w:r>
    </w:p>
    <w:p>
      <w:r>
        <w:t>3.1.Anspruch auf eine Invalidenrente haben gemäss Art. 28 Abs. 1 IVG Versicherte, die a) ihre Erwerbsfähigkeit oder die Fähigkeit sich im Aufgabenbereich zu betätigen, nicht durch zumutbare Eingliederungsmassnahmen wieder herstellen oder verbessern können; b) während eines Jahres ohne wesentlichen Unterbruch durchschnittlich mindestens 40% arbeitsunfähig (Art. 6 des Bundesgesetzes über den Allgemeinen Teil des Sozialversicherungsrecht vom 6. Oktober 2000 ATSG; SR 830.1) gewesen sind; und c) nach Ablauf dieses Jahres zu mindestens 40% invalid (Art. 8 ATSG) sind. Bei einem Invaliditätsgrad von mindestens 40% besteht Anspruch auf eine Viertelsrente, bei einem Invaliditätsgrad von mindestens 50% auf eine halbe Rente, bei einem solchen von mindestens 60% auf eine Dreiviertelsrente und bei einem Invaliditätsgrad von mindestens 70% auf eine ganze Rente (Art. 28 Abs. 2 IVG).</w:t>
      </w:r>
    </w:p>
    <w:p>
      <w:r>
        <w:t>4.1.2.Als Diagnosen ohne Auswirkung auf die Arbeitsfähigkeit stellte er beim Beschwerdeführer fest (vgl. a.a.O.):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Bundesgerichtsgesetz, BGG).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