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IV.2018.157 vom 21. August 2018</w:t>
      </w:r>
    </w:p>
    <w:p>
      <w:r>
        <w:t>Bs Sozialversicherungsgericht, 2018-08-21, DE</w:t>
      </w:r>
    </w:p>
    <w:p>
      <w:r>
        <w:rPr>
          <w:b/>
        </w:rPr>
        <w:t xml:space="preserve">Quelle: </w:t>
      </w:r>
      <w:r>
        <w:t>https://mcp.opencaselaw.ch/entscheid/bs_sozialversicherungsgericht_IV.2018.157</w:t>
      </w:r>
    </w:p>
    <w:p>
      <w:r>
        <w:t>FR: BS_SOZIALVERSICHERUNGSGERICHT IV.2018.157 du 21 août 2018</w:t>
      </w:r>
    </w:p>
    <w:p>
      <w:r>
        <w:t>IT: BS_SOZIALVERSICHERUNGSGERICHT IV.2018.157 del 21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Juli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Gerichtsschreiberin lic. iur.A.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IV.2018.157</w:t>
      </w:r>
    </w:p>
    <w:p>
      <w:r>
        <w:t>Verfügung vom 21. August 2018</w:t>
      </w:r>
    </w:p>
    <w:p>
      <w:r>
        <w:t>Anstelle der gemischten Bemessungsmethode ist die Einkommensvergleichsmethode anwendbar; Beschwerdeführerin wäre als Gesunde zu 60% erwerbstätig; Zusprache einer Dreiviertelsrente.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