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IV.2018.154 vom 30. Juli 2018</w:t>
      </w:r>
    </w:p>
    <w:p>
      <w:r>
        <w:t>Bs Sozialversicherungsgericht, 2018-07-30, DE</w:t>
      </w:r>
    </w:p>
    <w:p>
      <w:r>
        <w:rPr>
          <w:b/>
        </w:rPr>
        <w:t xml:space="preserve">Quelle: </w:t>
      </w:r>
      <w:r>
        <w:t>https://mcp.opencaselaw.ch/entscheid/bs_sozialversicherungsgericht_IV.2018.154</w:t>
      </w:r>
    </w:p>
    <w:p>
      <w:r>
        <w:t>FR: BS_SOZIALVERSICHERUNGSGERICHT IV.2018.154 du 30 juillet 2018</w:t>
      </w:r>
    </w:p>
    <w:p>
      <w:r>
        <w:t>IT: BS_SOZIALVERSICHERUNGSGERICHT IV.2018.154 del 30 luglio 2018</w:t>
      </w:r>
    </w:p>
    <w:p>
      <w:pPr>
        <w:pStyle w:val="Heading2"/>
      </w:pPr>
      <w:r>
        <w:t>Volltext</w:t>
      </w:r>
    </w:p>
    <w:p>
      <w:r>
        <w:t>Sozialversicherungsgericht</w:t>
      </w:r>
    </w:p>
    <w:p>
      <w:r>
        <w:t>des Kantons Basel-Stadt</w:t>
      </w:r>
    </w:p>
    <w:p>
      <w:r>
        <w:t>URTEIL</w:t>
      </w:r>
    </w:p>
    <w:p>
      <w:r>
        <w:t>vom22. Oktober 2019</w:t>
      </w:r>
    </w:p>
    <w:p>
      <w:r>
        <w:t>Mitwirkende</w:t>
      </w:r>
    </w:p>
    <w:p>
      <w:r>
        <w:t>Dr. G. Thomi (Vorsitz), C. Müller, MLaw M. Kreis</w:t>
      </w:r>
    </w:p>
    <w:p>
      <w:r>
        <w:t>und Gerichtsschreiberin lic. iur. H. Hofer</w:t>
      </w:r>
    </w:p>
    <w:p>
      <w:r>
        <w:t>Parteien</w:t>
      </w:r>
    </w:p>
    <w:p>
      <w:r>
        <w:t>A____</w:t>
      </w:r>
    </w:p>
    <w:p>
      <w:r>
        <w:t>vertreten durch B____</w:t>
      </w:r>
    </w:p>
    <w:p>
      <w:r>
        <w:t>Beschwerdeführer</w:t>
      </w:r>
    </w:p>
    <w:p>
      <w:r>
        <w:t>IV-Stelle Basel-Stadt</w:t>
      </w:r>
    </w:p>
    <w:p>
      <w:r>
        <w:t>Rechtsdienst, Lange Gasse 7, Postfach, 4002 Basel</w:t>
      </w:r>
    </w:p>
    <w:p>
      <w:r>
        <w:t>Beschwerdegegnerin</w:t>
      </w:r>
    </w:p>
    <w:p>
      <w:r>
        <w:t>Gegenstand</w:t>
      </w:r>
    </w:p>
    <w:p>
      <w:r>
        <w:t>IV.2018.154</w:t>
      </w:r>
    </w:p>
    <w:p>
      <w:r>
        <w:t>Verfügung vom 30. Juli 2018</w:t>
      </w:r>
    </w:p>
    <w:p>
      <w:r>
        <w:t>3.3.2.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232 E. 5.1 und 125 V 351, 352 E. 3a) und ob der Arzt über die notwendigen fachlichen Qualifikationen verfügt (Urteil des Bundesgerichts 9C_736/2009 vom 26. Januar 2010 E. 2.1). Die Rechtsprechung erachtet es mit dem Grundsatz der freien Beweiswürdigung als vereinbar, Richtlinien für die Beweiswürdigung in Bezug auf bestimmte Formen medizinischer Berichte und Gutachten auszustellen (vgl. BGE 125 V 351, 352 E. 3b).</w:t>
      </w:r>
    </w:p>
    <w:p>
      <w:r>
        <w:t>Der Präsident                                                   Die Gerichtsschreiberin</w:t>
      </w:r>
    </w:p>
    <w:p>
      <w:r>
        <w:t>Dr. G. Thomilic. iur.H. Hofer</w:t>
      </w:r>
    </w:p>
    <w:p>
      <w:r>
        <w:t>Gegen diesen Entscheid kann innert 30 Tagen nach der Eröffnung der vollständigen Ausfertigung beim Bundesgericht Beschwerde eingereicht werden (Art. 100 Abs. 1 des Bundesgesetzes vom 17. Juni 2005 über das Bundesgericht [Bundesgerichtsgesetz, BGG]). Die Beschwerdefrist kann nicht erstreckt werden (Art. 47 Abs. 1 BGG). Die Beschwerdegründe sind in Art. 95 ff. BGG geregelt.</w:t>
      </w:r>
    </w:p>
    <w:p>
      <w:r>
        <w:t>Die Beschwerdeschrift ist dem Bundesgericht, Schweizerhofquai 6, 6004 Luzern, in dreifacher Ausfertigung zuzustellen. Die Beschwerdeschrift hat den Anforderungen gemäss Art. 42 BGG zu genügen; zu beachten ist dabei insbesondere:</w:t>
      </w:r>
    </w:p>
    <w:p>
      <w:r>
        <w:t>a)            Die Beschwerdeschrift ist in einer Amtssprache abzufassen und hat die Begehren, deren Begründung mit Angabe der Beweismittel und die Unterschrift zu enthalten;</w:t>
      </w:r>
    </w:p>
    <w:p>
      <w:r>
        <w:t>b)            in der Begründung ist in gedrängter Form darzulegen, inwiefern der angefochtene Entscheid Recht verletzt;</w:t>
      </w:r>
    </w:p>
    <w:p>
      <w:r>
        <w:t>c)            die Urkunden, auf die sich die Partei als Beweismittel beruft, sind beizulegen, soweit die Partei sie in Händen hat, ebenso der angefochtene Entscheid.</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