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IV.2018.147 vom 25. Juli 2018</w:t>
      </w:r>
    </w:p>
    <w:p>
      <w:r>
        <w:t>Bs Sozialversicherungsgericht, 2018-07-25, DE</w:t>
      </w:r>
    </w:p>
    <w:p>
      <w:r>
        <w:rPr>
          <w:b/>
        </w:rPr>
        <w:t xml:space="preserve">Quelle: </w:t>
      </w:r>
      <w:r>
        <w:t>https://mcp.opencaselaw.ch/entscheid/bs_sozialversicherungsgericht_IV.2018.147</w:t>
      </w:r>
    </w:p>
    <w:p>
      <w:r>
        <w:t>FR: BS_SOZIALVERSICHERUNGSGERICHT IV.2018.147 du 25 juillet 2018</w:t>
      </w:r>
    </w:p>
    <w:p>
      <w:r>
        <w:t>IT: BS_SOZIALVERSICHERUNGSGERICHT IV.2018.147 del 25 luglio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vom1. April 2019</w:t>
      </w:r>
    </w:p>
    <w:p>
      <w:r>
        <w:t>Mitwirkende</w:t>
      </w:r>
    </w:p>
    <w:p>
      <w:r>
        <w:t>lic. iur. K. Zehnder (Vorsitz), lic. iur. M. Spöndlin, MLaw T. Conti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Advokatin,</w:t>
      </w:r>
    </w:p>
    <w:p>
      <w:r>
        <w:t>c/o C____, [...]</w:t>
      </w:r>
    </w:p>
    <w:p>
      <w:r>
        <w:t>Beschwerdeführer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IV.2018.147</w:t>
      </w:r>
    </w:p>
    <w:p>
      <w:r>
        <w:t>Verfügung vom 25. Juli 2018</w:t>
      </w:r>
    </w:p>
    <w:p>
      <w:r>
        <w:t>Verwertbarkeit der Restarbeitsfähigkeit; Faktor Alter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